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1"/>
        <w:ind w:left="1" w:firstLine="0"/>
      </w:pPr>
      <w:r>
        <w:rPr>
          <w:spacing w:val="-4"/>
        </w:rPr>
        <w:t>Nathaniel</w:t>
      </w:r>
      <w:r>
        <w:rPr>
          <w:spacing w:val="-15"/>
        </w:rPr>
        <w:t> </w:t>
      </w:r>
      <w:r>
        <w:rPr>
          <w:spacing w:val="-2"/>
        </w:rPr>
        <w:t>Perkins</w:t>
      </w:r>
    </w:p>
    <w:p>
      <w:pPr>
        <w:pStyle w:val="BodyText"/>
        <w:spacing w:before="56"/>
        <w:ind w:left="0" w:firstLine="0"/>
      </w:pPr>
    </w:p>
    <w:p>
      <w:pPr>
        <w:pStyle w:val="Heading1"/>
        <w:spacing w:before="1"/>
      </w:pPr>
      <w:r>
        <w:rPr>
          <w:rFonts w:ascii="Segoe UI Emoji" w:hAnsi="Segoe UI Emoji"/>
          <w:b w:val="0"/>
          <w:color w:val="0E4660"/>
          <w:w w:val="105"/>
        </w:rPr>
        <w:t>✅</w:t>
      </w:r>
      <w:r>
        <w:rPr>
          <w:rFonts w:ascii="Segoe UI Emoji" w:hAnsi="Segoe UI Emoji"/>
          <w:b w:val="0"/>
          <w:color w:val="0E4660"/>
          <w:spacing w:val="-3"/>
          <w:w w:val="105"/>
        </w:rPr>
        <w:t> </w:t>
      </w:r>
      <w:r>
        <w:rPr>
          <w:color w:val="0E4660"/>
          <w:w w:val="105"/>
        </w:rPr>
        <w:t>Basic</w:t>
      </w:r>
      <w:r>
        <w:rPr>
          <w:color w:val="0E4660"/>
          <w:spacing w:val="-32"/>
          <w:w w:val="105"/>
        </w:rPr>
        <w:t> </w:t>
      </w:r>
      <w:r>
        <w:rPr>
          <w:color w:val="0E4660"/>
          <w:spacing w:val="-4"/>
          <w:w w:val="105"/>
        </w:rPr>
        <w:t>Info</w:t>
      </w:r>
    </w:p>
    <w:p>
      <w:pPr>
        <w:pStyle w:val="BodyText"/>
        <w:spacing w:before="38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" w:after="0"/>
        <w:ind w:left="722" w:right="0" w:hanging="361"/>
        <w:jc w:val="left"/>
        <w:rPr>
          <w:sz w:val="24"/>
        </w:rPr>
      </w:pPr>
      <w:r>
        <w:rPr>
          <w:b/>
          <w:spacing w:val="-4"/>
          <w:sz w:val="24"/>
        </w:rPr>
        <w:t>Notice</w:t>
      </w:r>
      <w:r>
        <w:rPr>
          <w:b/>
          <w:spacing w:val="-22"/>
          <w:sz w:val="24"/>
        </w:rPr>
        <w:t> </w:t>
      </w:r>
      <w:r>
        <w:rPr>
          <w:b/>
          <w:spacing w:val="-4"/>
          <w:sz w:val="24"/>
        </w:rPr>
        <w:t>Period:</w:t>
      </w:r>
      <w:r>
        <w:rPr>
          <w:b/>
          <w:spacing w:val="-17"/>
          <w:sz w:val="24"/>
        </w:rPr>
        <w:t> </w:t>
      </w:r>
      <w:r>
        <w:rPr>
          <w:spacing w:val="-4"/>
          <w:sz w:val="24"/>
        </w:rPr>
        <w:t>2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weeks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50" w:after="0"/>
        <w:ind w:left="722" w:right="0" w:hanging="361"/>
        <w:jc w:val="left"/>
        <w:rPr>
          <w:sz w:val="24"/>
        </w:rPr>
      </w:pPr>
      <w:r>
        <w:rPr>
          <w:b/>
          <w:spacing w:val="-4"/>
          <w:sz w:val="24"/>
        </w:rPr>
        <w:t>Potential</w:t>
      </w:r>
      <w:r>
        <w:rPr>
          <w:b/>
          <w:spacing w:val="-22"/>
          <w:sz w:val="24"/>
        </w:rPr>
        <w:t> </w:t>
      </w:r>
      <w:r>
        <w:rPr>
          <w:b/>
          <w:spacing w:val="-4"/>
          <w:sz w:val="24"/>
        </w:rPr>
        <w:t>Start</w:t>
      </w:r>
      <w:r>
        <w:rPr>
          <w:b/>
          <w:spacing w:val="-20"/>
          <w:sz w:val="24"/>
        </w:rPr>
        <w:t> </w:t>
      </w:r>
      <w:r>
        <w:rPr>
          <w:b/>
          <w:spacing w:val="-4"/>
          <w:sz w:val="24"/>
        </w:rPr>
        <w:t>Date:</w:t>
      </w:r>
      <w:r>
        <w:rPr>
          <w:b/>
          <w:spacing w:val="-16"/>
          <w:sz w:val="24"/>
        </w:rPr>
        <w:t> </w:t>
      </w:r>
      <w:r>
        <w:rPr>
          <w:spacing w:val="-4"/>
          <w:sz w:val="24"/>
        </w:rPr>
        <w:t>2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weeks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from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offer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date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66" w:after="0"/>
        <w:ind w:left="722" w:right="0" w:hanging="361"/>
        <w:jc w:val="left"/>
        <w:rPr>
          <w:sz w:val="24"/>
        </w:rPr>
      </w:pPr>
      <w:r>
        <w:rPr>
          <w:b/>
          <w:sz w:val="24"/>
        </w:rPr>
        <w:t>Salary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Expectations:</w:t>
      </w:r>
      <w:r>
        <w:rPr>
          <w:b/>
          <w:spacing w:val="2"/>
          <w:sz w:val="24"/>
        </w:rPr>
        <w:t> </w:t>
      </w:r>
      <w:r>
        <w:rPr>
          <w:sz w:val="24"/>
        </w:rPr>
        <w:t>$120,000–$150,000</w:t>
      </w:r>
      <w:r>
        <w:rPr>
          <w:spacing w:val="-2"/>
          <w:sz w:val="24"/>
        </w:rPr>
        <w:t> annually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66" w:after="0"/>
        <w:ind w:left="722" w:right="0" w:hanging="361"/>
        <w:jc w:val="left"/>
        <w:rPr>
          <w:sz w:val="24"/>
        </w:rPr>
      </w:pPr>
      <w:r>
        <w:rPr>
          <w:b/>
          <w:spacing w:val="-4"/>
          <w:sz w:val="24"/>
        </w:rPr>
        <w:t>Current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Location:</w:t>
      </w:r>
      <w:r>
        <w:rPr>
          <w:b/>
          <w:spacing w:val="-18"/>
          <w:sz w:val="24"/>
        </w:rPr>
        <w:t> </w:t>
      </w:r>
      <w:r>
        <w:rPr>
          <w:spacing w:val="-4"/>
          <w:sz w:val="24"/>
        </w:rPr>
        <w:t>Orange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County,</w:t>
      </w:r>
      <w:r>
        <w:rPr>
          <w:spacing w:val="-20"/>
          <w:sz w:val="24"/>
        </w:rPr>
        <w:t> </w:t>
      </w:r>
      <w:r>
        <w:rPr>
          <w:spacing w:val="-5"/>
          <w:sz w:val="24"/>
        </w:rPr>
        <w:t>CA</w:t>
      </w:r>
    </w:p>
    <w:p>
      <w:pPr>
        <w:pStyle w:val="Heading2"/>
        <w:numPr>
          <w:ilvl w:val="0"/>
          <w:numId w:val="1"/>
        </w:numPr>
        <w:tabs>
          <w:tab w:pos="722" w:val="left" w:leader="none"/>
        </w:tabs>
        <w:spacing w:line="240" w:lineRule="auto" w:before="65" w:after="0"/>
        <w:ind w:left="722" w:right="0" w:hanging="361"/>
        <w:jc w:val="left"/>
        <w:rPr>
          <w:b w:val="0"/>
        </w:rPr>
      </w:pPr>
      <w:r>
        <w:rPr>
          <w:spacing w:val="-4"/>
        </w:rPr>
        <w:t>Relocation</w:t>
      </w:r>
      <w:r>
        <w:rPr>
          <w:spacing w:val="-32"/>
        </w:rPr>
        <w:t> </w:t>
      </w:r>
      <w:r>
        <w:rPr>
          <w:spacing w:val="-4"/>
        </w:rPr>
        <w:t>Required:</w:t>
      </w:r>
      <w:r>
        <w:rPr>
          <w:spacing w:val="6"/>
        </w:rPr>
        <w:t> </w:t>
      </w:r>
      <w:r>
        <w:rPr>
          <w:b w:val="0"/>
          <w:spacing w:val="-5"/>
        </w:rPr>
        <w:t>No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51" w:after="0"/>
        <w:ind w:left="722" w:right="0" w:hanging="361"/>
        <w:jc w:val="left"/>
        <w:rPr>
          <w:sz w:val="24"/>
        </w:rPr>
      </w:pPr>
      <w:r>
        <w:rPr>
          <w:b/>
          <w:spacing w:val="-8"/>
          <w:sz w:val="24"/>
        </w:rPr>
        <w:t>Work</w:t>
      </w:r>
      <w:r>
        <w:rPr>
          <w:b/>
          <w:spacing w:val="-13"/>
          <w:sz w:val="24"/>
        </w:rPr>
        <w:t> </w:t>
      </w:r>
      <w:r>
        <w:rPr>
          <w:b/>
          <w:spacing w:val="-8"/>
          <w:sz w:val="24"/>
        </w:rPr>
        <w:t>Authorization:</w:t>
      </w:r>
      <w:r>
        <w:rPr>
          <w:b/>
          <w:spacing w:val="4"/>
          <w:sz w:val="24"/>
        </w:rPr>
        <w:t> </w:t>
      </w:r>
      <w:r>
        <w:rPr>
          <w:spacing w:val="-8"/>
          <w:sz w:val="24"/>
        </w:rPr>
        <w:t>Authorized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work</w:t>
      </w:r>
      <w:r>
        <w:rPr>
          <w:spacing w:val="-18"/>
          <w:sz w:val="24"/>
        </w:rPr>
        <w:t> </w:t>
      </w:r>
      <w:r>
        <w:rPr>
          <w:spacing w:val="-8"/>
          <w:sz w:val="24"/>
        </w:rPr>
        <w:t>with</w:t>
      </w:r>
      <w:r>
        <w:rPr>
          <w:spacing w:val="-17"/>
          <w:sz w:val="24"/>
        </w:rPr>
        <w:t> </w:t>
      </w:r>
      <w:r>
        <w:rPr>
          <w:spacing w:val="-8"/>
          <w:sz w:val="24"/>
        </w:rPr>
        <w:t>no</w:t>
      </w:r>
      <w:r>
        <w:rPr>
          <w:spacing w:val="-18"/>
          <w:sz w:val="24"/>
        </w:rPr>
        <w:t> </w:t>
      </w:r>
      <w:r>
        <w:rPr>
          <w:spacing w:val="-8"/>
          <w:sz w:val="24"/>
        </w:rPr>
        <w:t>restrictions</w:t>
      </w:r>
    </w:p>
    <w:p>
      <w:pPr>
        <w:pStyle w:val="Heading2"/>
        <w:numPr>
          <w:ilvl w:val="0"/>
          <w:numId w:val="1"/>
        </w:numPr>
        <w:tabs>
          <w:tab w:pos="722" w:val="left" w:leader="none"/>
        </w:tabs>
        <w:spacing w:line="240" w:lineRule="auto" w:before="66" w:after="0"/>
        <w:ind w:left="722" w:right="0" w:hanging="361"/>
        <w:jc w:val="left"/>
        <w:rPr>
          <w:b w:val="0"/>
        </w:rPr>
      </w:pPr>
      <w:r>
        <w:rPr>
          <w:spacing w:val="-2"/>
        </w:rPr>
        <w:t>Sponsorship</w:t>
      </w:r>
      <w:r>
        <w:rPr>
          <w:spacing w:val="7"/>
        </w:rPr>
        <w:t> </w:t>
      </w:r>
      <w:r>
        <w:rPr>
          <w:spacing w:val="-2"/>
        </w:rPr>
        <w:t>Needed:</w:t>
      </w:r>
      <w:r>
        <w:rPr>
          <w:spacing w:val="-11"/>
        </w:rPr>
        <w:t> </w:t>
      </w:r>
      <w:r>
        <w:rPr>
          <w:b w:val="0"/>
          <w:spacing w:val="-5"/>
        </w:rPr>
        <w:t>No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66" w:after="0"/>
        <w:ind w:left="722" w:right="0" w:hanging="361"/>
        <w:jc w:val="left"/>
        <w:rPr>
          <w:sz w:val="24"/>
        </w:rPr>
      </w:pPr>
      <w:r>
        <w:rPr>
          <w:b/>
          <w:spacing w:val="-2"/>
          <w:sz w:val="24"/>
        </w:rPr>
        <w:t>Willing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to</w:t>
      </w:r>
      <w:r>
        <w:rPr>
          <w:b/>
          <w:spacing w:val="-29"/>
          <w:sz w:val="24"/>
        </w:rPr>
        <w:t> </w:t>
      </w:r>
      <w:r>
        <w:rPr>
          <w:b/>
          <w:spacing w:val="-2"/>
          <w:sz w:val="24"/>
        </w:rPr>
        <w:t>Commute:</w:t>
      </w:r>
      <w:r>
        <w:rPr>
          <w:b/>
          <w:spacing w:val="-6"/>
          <w:sz w:val="24"/>
        </w:rPr>
        <w:t> </w:t>
      </w:r>
      <w:r>
        <w:rPr>
          <w:spacing w:val="-5"/>
          <w:sz w:val="24"/>
        </w:rPr>
        <w:t>Yes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65" w:after="0"/>
        <w:ind w:left="722" w:right="0" w:hanging="361"/>
        <w:jc w:val="left"/>
        <w:rPr>
          <w:sz w:val="24"/>
        </w:rPr>
      </w:pPr>
      <w:r>
        <w:rPr>
          <w:b/>
          <w:sz w:val="24"/>
        </w:rPr>
        <w:t>Languages:</w:t>
      </w:r>
      <w:r>
        <w:rPr>
          <w:b/>
          <w:spacing w:val="9"/>
          <w:sz w:val="24"/>
        </w:rPr>
        <w:t> </w:t>
      </w:r>
      <w:r>
        <w:rPr>
          <w:sz w:val="24"/>
        </w:rPr>
        <w:t>English</w:t>
      </w:r>
      <w:r>
        <w:rPr>
          <w:spacing w:val="-13"/>
          <w:sz w:val="24"/>
        </w:rPr>
        <w:t> </w:t>
      </w:r>
      <w:r>
        <w:rPr>
          <w:sz w:val="24"/>
        </w:rPr>
        <w:t>(100%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fluent)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85"/>
        <w:ind w:left="0" w:firstLine="0"/>
      </w:pPr>
    </w:p>
    <w:p>
      <w:pPr>
        <w:pStyle w:val="Heading1"/>
      </w:pPr>
      <w:r>
        <w:rPr>
          <w:rFonts w:ascii="Segoe UI Emoji" w:hAnsi="Segoe UI Emoji"/>
          <w:b w:val="0"/>
          <w:color w:val="0E4660"/>
        </w:rPr>
        <w:t>✨</w:t>
      </w:r>
      <w:r>
        <w:rPr>
          <w:rFonts w:ascii="Segoe UI Emoji" w:hAnsi="Segoe UI Emoji"/>
          <w:b w:val="0"/>
          <w:color w:val="0E4660"/>
          <w:spacing w:val="-18"/>
        </w:rPr>
        <w:t> </w:t>
      </w:r>
      <w:r>
        <w:rPr>
          <w:color w:val="0E4660"/>
        </w:rPr>
        <w:t>Fun</w:t>
      </w:r>
      <w:r>
        <w:rPr>
          <w:color w:val="0E4660"/>
          <w:spacing w:val="-25"/>
        </w:rPr>
        <w:t> </w:t>
      </w:r>
      <w:r>
        <w:rPr>
          <w:color w:val="0E4660"/>
          <w:spacing w:val="-4"/>
        </w:rPr>
        <w:t>Fact</w:t>
      </w:r>
    </w:p>
    <w:p>
      <w:pPr>
        <w:pStyle w:val="BodyText"/>
        <w:spacing w:before="24"/>
        <w:ind w:left="0" w:firstLine="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0" w:after="0"/>
        <w:ind w:left="722" w:right="0" w:hanging="361"/>
        <w:jc w:val="left"/>
        <w:rPr>
          <w:sz w:val="24"/>
        </w:rPr>
      </w:pPr>
      <w:r>
        <w:rPr>
          <w:spacing w:val="-6"/>
          <w:sz w:val="24"/>
        </w:rPr>
        <w:t>Loves to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travel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24"/>
          <w:sz w:val="24"/>
        </w:rPr>
        <w:t> </w:t>
      </w:r>
      <w:r>
        <w:rPr>
          <w:spacing w:val="-6"/>
          <w:sz w:val="24"/>
        </w:rPr>
        <w:t>hike;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tries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visit</w:t>
      </w:r>
      <w:r>
        <w:rPr>
          <w:spacing w:val="-28"/>
          <w:sz w:val="24"/>
        </w:rPr>
        <w:t> </w:t>
      </w:r>
      <w:r>
        <w:rPr>
          <w:spacing w:val="-6"/>
          <w:sz w:val="24"/>
        </w:rPr>
        <w:t>one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national</w:t>
      </w:r>
      <w:r>
        <w:rPr>
          <w:spacing w:val="-27"/>
          <w:sz w:val="24"/>
        </w:rPr>
        <w:t> </w:t>
      </w:r>
      <w:r>
        <w:rPr>
          <w:spacing w:val="-6"/>
          <w:sz w:val="24"/>
        </w:rPr>
        <w:t>park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per</w:t>
      </w:r>
      <w:r>
        <w:rPr>
          <w:spacing w:val="-30"/>
          <w:sz w:val="24"/>
        </w:rPr>
        <w:t> </w:t>
      </w:r>
      <w:r>
        <w:rPr>
          <w:spacing w:val="-6"/>
          <w:sz w:val="24"/>
        </w:rPr>
        <w:t>season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84"/>
        <w:ind w:left="0" w:firstLine="0"/>
      </w:pPr>
    </w:p>
    <w:p>
      <w:pPr>
        <w:pStyle w:val="Heading1"/>
      </w:pPr>
      <w:r>
        <w:rPr>
          <w:rFonts w:ascii="Segoe UI Emoji" w:eastAsia="Segoe UI Emoji"/>
          <w:b w:val="0"/>
          <w:color w:val="0E4660"/>
        </w:rPr>
        <w:t>📊</w:t>
      </w:r>
      <w:r>
        <w:rPr>
          <w:rFonts w:ascii="Segoe UI Emoji" w:eastAsia="Segoe UI Emoji"/>
          <w:b w:val="0"/>
          <w:color w:val="0E4660"/>
          <w:spacing w:val="12"/>
        </w:rPr>
        <w:t> </w:t>
      </w:r>
      <w:r>
        <w:rPr>
          <w:color w:val="0E4660"/>
        </w:rPr>
        <w:t>Experience</w:t>
      </w:r>
      <w:r>
        <w:rPr>
          <w:color w:val="0E4660"/>
          <w:spacing w:val="-4"/>
        </w:rPr>
        <w:t> </w:t>
      </w:r>
      <w:r>
        <w:rPr>
          <w:color w:val="0E4660"/>
        </w:rPr>
        <w:t>with</w:t>
      </w:r>
      <w:r>
        <w:rPr>
          <w:color w:val="0E4660"/>
          <w:spacing w:val="-11"/>
        </w:rPr>
        <w:t> </w:t>
      </w:r>
      <w:r>
        <w:rPr>
          <w:color w:val="0E4660"/>
        </w:rPr>
        <w:t>KPIs,</w:t>
      </w:r>
      <w:r>
        <w:rPr>
          <w:color w:val="0E4660"/>
          <w:spacing w:val="-7"/>
        </w:rPr>
        <w:t> </w:t>
      </w:r>
      <w:r>
        <w:rPr>
          <w:color w:val="0E4660"/>
        </w:rPr>
        <w:t>SOPs,</w:t>
      </w:r>
      <w:r>
        <w:rPr>
          <w:color w:val="0E4660"/>
          <w:spacing w:val="-6"/>
        </w:rPr>
        <w:t> </w:t>
      </w:r>
      <w:r>
        <w:rPr>
          <w:color w:val="0E4660"/>
          <w:spacing w:val="-4"/>
        </w:rPr>
        <w:t>QA/QC</w:t>
      </w:r>
    </w:p>
    <w:p>
      <w:pPr>
        <w:pStyle w:val="BodyText"/>
        <w:spacing w:before="40"/>
        <w:ind w:left="0" w:firstLine="0"/>
        <w:rPr>
          <w:b/>
          <w:sz w:val="28"/>
        </w:rPr>
      </w:pPr>
    </w:p>
    <w:p>
      <w:pPr>
        <w:pStyle w:val="Heading2"/>
        <w:numPr>
          <w:ilvl w:val="0"/>
          <w:numId w:val="1"/>
        </w:numPr>
        <w:tabs>
          <w:tab w:pos="722" w:val="left" w:leader="none"/>
        </w:tabs>
        <w:spacing w:line="240" w:lineRule="auto" w:before="0" w:after="0"/>
        <w:ind w:left="722" w:right="0" w:hanging="361"/>
        <w:jc w:val="left"/>
      </w:pPr>
      <w:r>
        <w:rPr>
          <w:spacing w:val="-2"/>
        </w:rPr>
        <w:t>KPIs: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40" w:lineRule="auto" w:before="51" w:after="0"/>
        <w:ind w:left="1443" w:right="0" w:hanging="360"/>
        <w:jc w:val="left"/>
        <w:rPr>
          <w:sz w:val="24"/>
        </w:rPr>
      </w:pPr>
      <w:r>
        <w:rPr>
          <w:spacing w:val="-6"/>
          <w:sz w:val="24"/>
        </w:rPr>
        <w:t>Led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implementation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at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Whitestone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Industries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78" w:lineRule="auto" w:before="48" w:after="0"/>
        <w:ind w:left="1443" w:right="331" w:hanging="361"/>
        <w:jc w:val="left"/>
        <w:rPr>
          <w:sz w:val="24"/>
        </w:rPr>
      </w:pPr>
      <w:r>
        <w:rPr>
          <w:spacing w:val="-4"/>
          <w:sz w:val="24"/>
        </w:rPr>
        <w:t>Aligned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KPIs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contract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wins,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service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timelines,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cost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reduction,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and </w:t>
      </w:r>
      <w:r>
        <w:rPr>
          <w:spacing w:val="-2"/>
          <w:sz w:val="24"/>
        </w:rPr>
        <w:t>retention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40" w:lineRule="auto" w:before="11" w:after="0"/>
        <w:ind w:left="1443" w:right="0" w:hanging="360"/>
        <w:jc w:val="left"/>
        <w:rPr>
          <w:sz w:val="24"/>
        </w:rPr>
      </w:pPr>
      <w:r>
        <w:rPr>
          <w:spacing w:val="-2"/>
          <w:sz w:val="24"/>
        </w:rPr>
        <w:t>Created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dashboards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33"/>
          <w:sz w:val="24"/>
        </w:rPr>
        <w:t> </w:t>
      </w:r>
      <w:r>
        <w:rPr>
          <w:spacing w:val="-2"/>
          <w:sz w:val="24"/>
        </w:rPr>
        <w:t>performance</w:t>
      </w:r>
      <w:r>
        <w:rPr>
          <w:spacing w:val="-34"/>
          <w:sz w:val="24"/>
        </w:rPr>
        <w:t> </w:t>
      </w:r>
      <w:r>
        <w:rPr>
          <w:spacing w:val="-2"/>
          <w:sz w:val="24"/>
        </w:rPr>
        <w:t>reviews</w:t>
      </w:r>
    </w:p>
    <w:p>
      <w:pPr>
        <w:pStyle w:val="Heading2"/>
        <w:numPr>
          <w:ilvl w:val="0"/>
          <w:numId w:val="1"/>
        </w:numPr>
        <w:tabs>
          <w:tab w:pos="722" w:val="left" w:leader="none"/>
        </w:tabs>
        <w:spacing w:line="240" w:lineRule="auto" w:before="47" w:after="0"/>
        <w:ind w:left="722" w:right="0" w:hanging="361"/>
        <w:jc w:val="left"/>
      </w:pPr>
      <w:r>
        <w:rPr>
          <w:spacing w:val="-2"/>
          <w:w w:val="105"/>
        </w:rPr>
        <w:t>SOPs: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40" w:lineRule="auto" w:before="66" w:after="0"/>
        <w:ind w:left="1443" w:right="0" w:hanging="360"/>
        <w:jc w:val="left"/>
        <w:rPr>
          <w:sz w:val="24"/>
        </w:rPr>
      </w:pPr>
      <w:r>
        <w:rPr>
          <w:spacing w:val="-2"/>
          <w:sz w:val="24"/>
        </w:rPr>
        <w:t>Rolled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out</w:t>
      </w:r>
      <w:r>
        <w:rPr>
          <w:spacing w:val="-26"/>
          <w:sz w:val="24"/>
        </w:rPr>
        <w:t> </w:t>
      </w:r>
      <w:r>
        <w:rPr>
          <w:spacing w:val="-2"/>
          <w:sz w:val="24"/>
        </w:rPr>
        <w:t>SOPs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30"/>
          <w:sz w:val="24"/>
        </w:rPr>
        <w:t> </w:t>
      </w:r>
      <w:r>
        <w:rPr>
          <w:spacing w:val="-2"/>
          <w:sz w:val="24"/>
        </w:rPr>
        <w:t>50+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team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26"/>
          <w:sz w:val="24"/>
        </w:rPr>
        <w:t> </w:t>
      </w:r>
      <w:r>
        <w:rPr>
          <w:spacing w:val="-2"/>
          <w:sz w:val="24"/>
        </w:rPr>
        <w:t>C.H.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Robinson/Zuum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40" w:lineRule="auto" w:before="48" w:after="0"/>
        <w:ind w:left="1443" w:right="0" w:hanging="360"/>
        <w:jc w:val="left"/>
        <w:rPr>
          <w:sz w:val="24"/>
        </w:rPr>
      </w:pPr>
      <w:r>
        <w:rPr>
          <w:spacing w:val="-4"/>
          <w:sz w:val="24"/>
        </w:rPr>
        <w:t>Covered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client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onboarding,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shipment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routing,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billing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40" w:lineRule="auto" w:before="33" w:after="0"/>
        <w:ind w:left="1443" w:right="0" w:hanging="360"/>
        <w:jc w:val="left"/>
        <w:rPr>
          <w:sz w:val="24"/>
        </w:rPr>
      </w:pPr>
      <w:r>
        <w:rPr>
          <w:spacing w:val="-4"/>
          <w:sz w:val="24"/>
        </w:rPr>
        <w:t>Included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training,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scalable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documentation,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regular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audits</w:t>
      </w:r>
    </w:p>
    <w:p>
      <w:pPr>
        <w:pStyle w:val="Heading2"/>
        <w:numPr>
          <w:ilvl w:val="0"/>
          <w:numId w:val="1"/>
        </w:numPr>
        <w:tabs>
          <w:tab w:pos="722" w:val="left" w:leader="none"/>
        </w:tabs>
        <w:spacing w:line="240" w:lineRule="auto" w:before="47" w:after="0"/>
        <w:ind w:left="722" w:right="0" w:hanging="361"/>
        <w:jc w:val="left"/>
      </w:pPr>
      <w:r>
        <w:rPr/>
        <w:t>QA/QC</w:t>
      </w:r>
      <w:r>
        <w:rPr>
          <w:spacing w:val="-5"/>
        </w:rPr>
        <w:t> </w:t>
      </w:r>
      <w:r>
        <w:rPr>
          <w:spacing w:val="-2"/>
        </w:rPr>
        <w:t>Systems: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66" w:lineRule="auto" w:before="66" w:after="0"/>
        <w:ind w:left="1443" w:right="234" w:hanging="361"/>
        <w:jc w:val="left"/>
        <w:rPr>
          <w:sz w:val="24"/>
        </w:rPr>
      </w:pPr>
      <w:r>
        <w:rPr>
          <w:spacing w:val="-4"/>
          <w:sz w:val="24"/>
        </w:rPr>
        <w:t>Built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systems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inspections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vendor/tenant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feedback at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All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Choice </w:t>
      </w:r>
      <w:r>
        <w:rPr>
          <w:spacing w:val="-2"/>
          <w:sz w:val="24"/>
        </w:rPr>
        <w:t>Realty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40" w:lineRule="auto" w:before="39" w:after="0"/>
        <w:ind w:left="1443" w:right="0" w:hanging="360"/>
        <w:jc w:val="left"/>
        <w:rPr>
          <w:sz w:val="24"/>
        </w:rPr>
      </w:pPr>
      <w:r>
        <w:rPr>
          <w:spacing w:val="-4"/>
          <w:sz w:val="24"/>
        </w:rPr>
        <w:t>Used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digital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checklists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structured feedback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loops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40" w:lineRule="auto" w:before="48" w:after="0"/>
        <w:ind w:left="1443" w:right="0" w:hanging="360"/>
        <w:jc w:val="left"/>
        <w:rPr>
          <w:sz w:val="24"/>
        </w:rPr>
      </w:pPr>
      <w:r>
        <w:rPr>
          <w:spacing w:val="-4"/>
          <w:sz w:val="24"/>
        </w:rPr>
        <w:t>Result: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30%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drop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complaints,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improved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tenant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retention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1440" w:right="1800"/>
        </w:sectPr>
      </w:pPr>
    </w:p>
    <w:p>
      <w:pPr>
        <w:pStyle w:val="Heading1"/>
        <w:spacing w:before="235"/>
      </w:pPr>
      <w:r>
        <w:rPr>
          <w:rFonts w:ascii="Segoe UI Emoji" w:eastAsia="Segoe UI Emoji"/>
          <w:b w:val="0"/>
          <w:color w:val="0E4660"/>
        </w:rPr>
        <w:t>🤝</w:t>
      </w:r>
      <w:r>
        <w:rPr>
          <w:rFonts w:ascii="Segoe UI Emoji" w:eastAsia="Segoe UI Emoji"/>
          <w:b w:val="0"/>
          <w:color w:val="0E4660"/>
          <w:spacing w:val="29"/>
        </w:rPr>
        <w:t> </w:t>
      </w:r>
      <w:r>
        <w:rPr>
          <w:color w:val="0E4660"/>
        </w:rPr>
        <w:t>Cross-Functional</w:t>
      </w:r>
      <w:r>
        <w:rPr>
          <w:color w:val="0E4660"/>
          <w:spacing w:val="9"/>
        </w:rPr>
        <w:t> </w:t>
      </w:r>
      <w:r>
        <w:rPr>
          <w:color w:val="0E4660"/>
          <w:spacing w:val="-2"/>
        </w:rPr>
        <w:t>Collaboration</w:t>
      </w:r>
    </w:p>
    <w:p>
      <w:pPr>
        <w:pStyle w:val="BodyText"/>
        <w:spacing w:before="39"/>
        <w:ind w:left="0" w:firstLine="0"/>
        <w:rPr>
          <w:b/>
          <w:sz w:val="28"/>
        </w:rPr>
      </w:pPr>
    </w:p>
    <w:p>
      <w:pPr>
        <w:pStyle w:val="Heading2"/>
        <w:numPr>
          <w:ilvl w:val="0"/>
          <w:numId w:val="1"/>
        </w:numPr>
        <w:tabs>
          <w:tab w:pos="722" w:val="left" w:leader="none"/>
        </w:tabs>
        <w:spacing w:line="240" w:lineRule="auto" w:before="0" w:after="0"/>
        <w:ind w:left="722" w:right="0" w:hanging="361"/>
        <w:jc w:val="left"/>
      </w:pPr>
      <w:r>
        <w:rPr>
          <w:spacing w:val="-4"/>
        </w:rPr>
        <w:t>Whitestone</w:t>
      </w:r>
      <w:r>
        <w:rPr/>
        <w:t> </w:t>
      </w:r>
      <w:r>
        <w:rPr>
          <w:spacing w:val="-2"/>
        </w:rPr>
        <w:t>Industries: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40" w:lineRule="auto" w:before="51" w:after="0"/>
        <w:ind w:left="1443" w:right="0" w:hanging="360"/>
        <w:jc w:val="left"/>
        <w:rPr>
          <w:sz w:val="24"/>
        </w:rPr>
      </w:pPr>
      <w:r>
        <w:rPr>
          <w:spacing w:val="-4"/>
          <w:sz w:val="24"/>
        </w:rPr>
        <w:t>Worked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engineering,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sales,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PM,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finance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during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acquisition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78" w:lineRule="auto" w:before="48" w:after="0"/>
        <w:ind w:left="1443" w:right="33" w:hanging="361"/>
        <w:jc w:val="left"/>
        <w:rPr>
          <w:sz w:val="24"/>
        </w:rPr>
      </w:pPr>
      <w:r>
        <w:rPr>
          <w:spacing w:val="-4"/>
          <w:sz w:val="24"/>
        </w:rPr>
        <w:t>Resulted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multimillion-dollar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contract,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delivered</w:t>
      </w:r>
      <w:r>
        <w:rPr>
          <w:sz w:val="24"/>
        </w:rPr>
        <w:t> </w:t>
      </w:r>
      <w:r>
        <w:rPr>
          <w:spacing w:val="-4"/>
          <w:sz w:val="24"/>
        </w:rPr>
        <w:t>on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time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C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17%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under </w:t>
      </w:r>
      <w:r>
        <w:rPr>
          <w:spacing w:val="-2"/>
          <w:sz w:val="24"/>
        </w:rPr>
        <w:t>budget</w:t>
      </w:r>
    </w:p>
    <w:p>
      <w:pPr>
        <w:pStyle w:val="Heading2"/>
        <w:numPr>
          <w:ilvl w:val="0"/>
          <w:numId w:val="1"/>
        </w:numPr>
        <w:tabs>
          <w:tab w:pos="722" w:val="left" w:leader="none"/>
        </w:tabs>
        <w:spacing w:line="240" w:lineRule="auto" w:before="10" w:after="0"/>
        <w:ind w:left="722" w:right="0" w:hanging="361"/>
        <w:jc w:val="left"/>
      </w:pPr>
      <w:r>
        <w:rPr>
          <w:spacing w:val="-2"/>
        </w:rPr>
        <w:t>C.H.</w:t>
      </w:r>
      <w:r>
        <w:rPr>
          <w:spacing w:val="-18"/>
        </w:rPr>
        <w:t> </w:t>
      </w:r>
      <w:r>
        <w:rPr>
          <w:spacing w:val="-2"/>
        </w:rPr>
        <w:t>Robinson/Zuum: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40" w:lineRule="auto" w:before="66" w:after="0"/>
        <w:ind w:left="1443" w:right="0" w:hanging="360"/>
        <w:jc w:val="left"/>
        <w:rPr>
          <w:sz w:val="24"/>
        </w:rPr>
      </w:pPr>
      <w:r>
        <w:rPr>
          <w:spacing w:val="-6"/>
          <w:sz w:val="24"/>
        </w:rPr>
        <w:t>Launched</w:t>
      </w:r>
      <w:r>
        <w:rPr>
          <w:spacing w:val="-25"/>
          <w:sz w:val="24"/>
        </w:rPr>
        <w:t> </w:t>
      </w:r>
      <w:r>
        <w:rPr>
          <w:spacing w:val="-6"/>
          <w:sz w:val="24"/>
        </w:rPr>
        <w:t>real-time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freight-matching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platform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engineering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C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sales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40" w:lineRule="auto" w:before="48" w:after="0"/>
        <w:ind w:left="1443" w:right="0" w:hanging="360"/>
        <w:jc w:val="left"/>
        <w:rPr>
          <w:sz w:val="24"/>
        </w:rPr>
      </w:pPr>
      <w:r>
        <w:rPr>
          <w:spacing w:val="-4"/>
          <w:sz w:val="24"/>
        </w:rPr>
        <w:t>Finance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built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smart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pricing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model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40" w:lineRule="auto" w:before="48" w:after="0"/>
        <w:ind w:left="1443" w:right="0" w:hanging="360"/>
        <w:jc w:val="left"/>
        <w:rPr>
          <w:sz w:val="24"/>
        </w:rPr>
      </w:pPr>
      <w:r>
        <w:rPr>
          <w:spacing w:val="-2"/>
          <w:sz w:val="24"/>
        </w:rPr>
        <w:t>Result: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23%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route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efficiency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boost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+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$2B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Home</w:t>
      </w:r>
      <w:r>
        <w:rPr>
          <w:spacing w:val="-30"/>
          <w:sz w:val="24"/>
        </w:rPr>
        <w:t> </w:t>
      </w:r>
      <w:r>
        <w:rPr>
          <w:spacing w:val="-2"/>
          <w:sz w:val="24"/>
        </w:rPr>
        <w:t>Depot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contract</w:t>
      </w:r>
    </w:p>
    <w:p>
      <w:pPr>
        <w:pStyle w:val="Heading2"/>
        <w:numPr>
          <w:ilvl w:val="0"/>
          <w:numId w:val="1"/>
        </w:numPr>
        <w:tabs>
          <w:tab w:pos="722" w:val="left" w:leader="none"/>
        </w:tabs>
        <w:spacing w:line="240" w:lineRule="auto" w:before="32" w:after="0"/>
        <w:ind w:left="722" w:right="0" w:hanging="361"/>
        <w:jc w:val="left"/>
      </w:pPr>
      <w:r>
        <w:rPr>
          <w:spacing w:val="-2"/>
        </w:rPr>
        <w:t>Consulting</w:t>
      </w:r>
      <w:r>
        <w:rPr>
          <w:spacing w:val="-17"/>
        </w:rPr>
        <w:t> </w:t>
      </w:r>
      <w:r>
        <w:rPr>
          <w:spacing w:val="-2"/>
        </w:rPr>
        <w:t>(RiseHyre,</w:t>
      </w:r>
      <w:r>
        <w:rPr>
          <w:spacing w:val="-25"/>
        </w:rPr>
        <w:t> </w:t>
      </w:r>
      <w:r>
        <w:rPr>
          <w:spacing w:val="-2"/>
        </w:rPr>
        <w:t>City</w:t>
      </w:r>
      <w:r>
        <w:rPr>
          <w:spacing w:val="-26"/>
        </w:rPr>
        <w:t> </w:t>
      </w:r>
      <w:r>
        <w:rPr>
          <w:spacing w:val="-2"/>
        </w:rPr>
        <w:t>Advisory):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78" w:lineRule="auto" w:before="67" w:after="0"/>
        <w:ind w:left="1443" w:right="1056" w:hanging="361"/>
        <w:jc w:val="left"/>
        <w:rPr>
          <w:sz w:val="24"/>
        </w:rPr>
      </w:pPr>
      <w:r>
        <w:rPr>
          <w:spacing w:val="-4"/>
          <w:sz w:val="24"/>
        </w:rPr>
        <w:t>United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grassroots,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local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gov,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internal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teams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(e.g.,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Anaheim </w:t>
      </w:r>
      <w:r>
        <w:rPr>
          <w:spacing w:val="-2"/>
          <w:sz w:val="24"/>
        </w:rPr>
        <w:t>Autonomous)</w:t>
      </w:r>
    </w:p>
    <w:p>
      <w:pPr>
        <w:pStyle w:val="ListParagraph"/>
        <w:numPr>
          <w:ilvl w:val="1"/>
          <w:numId w:val="1"/>
        </w:numPr>
        <w:tabs>
          <w:tab w:pos="1443" w:val="left" w:leader="none"/>
        </w:tabs>
        <w:spacing w:line="240" w:lineRule="auto" w:before="25" w:after="0"/>
        <w:ind w:left="1443" w:right="0" w:hanging="360"/>
        <w:jc w:val="left"/>
        <w:rPr>
          <w:sz w:val="24"/>
        </w:rPr>
      </w:pPr>
      <w:r>
        <w:rPr>
          <w:spacing w:val="-4"/>
          <w:sz w:val="24"/>
        </w:rPr>
        <w:t>Delivered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outreach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programs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shared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metrics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budget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alignment</w:t>
      </w:r>
    </w:p>
    <w:sectPr>
      <w:pgSz w:w="12240" w:h="15840"/>
      <w:pgMar w:top="182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egoe UI Emoji">
    <w:altName w:val="Segoe UI Emoji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2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443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8"/>
      <w:ind w:left="1443" w:hanging="360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22" w:hanging="361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6"/>
      <w:ind w:left="722" w:hanging="36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2025-04-17T14:34:44Z</dcterms:created>
  <dcterms:modified xsi:type="dcterms:W3CDTF">2025-04-17T14:34:44Z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2025-04-16T00:00:00Z</vt:filetime>
  </property>
</Properties>
</file>